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Gävle kommunfullmäktige</w:t>
      </w:r>
    </w:p>
    <w:p>
      <w:pPr>
        <w:pStyle w:val="Heading1"/>
      </w:pPr>
      <w:r>
        <w:t xml:space="preserve">Digital service och öppen data i Gävle kommun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Gävle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Gävles digitala mognad ligger under genomsnittet enligt SKR:s e-förvaltningsranking. Öppen data kan öka transparens och innovation.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Gävle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Gävle kommun antar en digitaliseringsstrategi med fokus på medborgarservice.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50 dataset publiceras som öppen data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e-tjänster för de vanligaste ärendena införs inom två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digitaliseringsrapport lämnas till kommunfullmäktige.</w:t>
      </w:r>
    </w:p>
    <w:p>
      <w:pPr>
        <w:spacing w:before="360"/>
      </w:pPr>
    </w:p>
    <w:p>
      <w:r>
        <w:t xml:space="preserve">Gävle,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Gävle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2026-07-14T03:10:34.668Z</dcterms:created>
  <dcterms:modified xsi:type="dcterms:W3CDTF">2026-07-14T03:10:34.668Z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